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FC7E" w14:textId="77777777" w:rsidR="00377EC3" w:rsidRPr="00377EC3" w:rsidRDefault="00377EC3" w:rsidP="00434829">
      <w:pPr>
        <w:jc w:val="center"/>
        <w:rPr>
          <w:rFonts w:ascii="Sylfaen" w:hAnsi="Sylfaen"/>
          <w:b/>
        </w:rPr>
      </w:pPr>
      <w:r w:rsidRPr="00377EC3">
        <w:rPr>
          <w:rFonts w:ascii="Sylfaen" w:hAnsi="Sylfaen"/>
          <w:b/>
        </w:rPr>
        <w:t>Կարծիք</w:t>
      </w:r>
    </w:p>
    <w:p w14:paraId="4A826F2D" w14:textId="736885E6" w:rsidR="00246103" w:rsidRPr="00377EC3" w:rsidRDefault="00377EC3" w:rsidP="00434829">
      <w:pPr>
        <w:jc w:val="center"/>
        <w:rPr>
          <w:rFonts w:ascii="Sylfaen" w:hAnsi="Sylfaen"/>
          <w:b/>
        </w:rPr>
      </w:pPr>
      <w:r w:rsidRPr="00377EC3">
        <w:rPr>
          <w:rFonts w:ascii="Sylfaen" w:hAnsi="Sylfaen"/>
          <w:b/>
        </w:rPr>
        <w:t>&lt;</w:t>
      </w:r>
      <w:r w:rsidR="007753DE">
        <w:rPr>
          <w:rFonts w:ascii="Sylfaen" w:hAnsi="Sylfaen"/>
          <w:b/>
        </w:rPr>
        <w:t>&lt;</w:t>
      </w:r>
      <w:r w:rsidRPr="00377EC3">
        <w:rPr>
          <w:rFonts w:ascii="Sylfaen" w:hAnsi="Sylfaen"/>
          <w:b/>
        </w:rPr>
        <w:t>Մ</w:t>
      </w:r>
      <w:r w:rsidR="001953FF" w:rsidRPr="00377EC3">
        <w:rPr>
          <w:rFonts w:ascii="Sylfaen" w:hAnsi="Sylfaen"/>
          <w:b/>
        </w:rPr>
        <w:t>արդու իրավու</w:t>
      </w:r>
      <w:r w:rsidRPr="00377EC3">
        <w:rPr>
          <w:rFonts w:ascii="Sylfaen" w:hAnsi="Sylfaen"/>
          <w:b/>
        </w:rPr>
        <w:t>նք</w:t>
      </w:r>
      <w:r w:rsidR="001953FF" w:rsidRPr="00377EC3">
        <w:rPr>
          <w:rFonts w:ascii="Sylfaen" w:hAnsi="Sylfaen"/>
          <w:b/>
        </w:rPr>
        <w:t xml:space="preserve">ների </w:t>
      </w:r>
      <w:r w:rsidRPr="00377EC3">
        <w:rPr>
          <w:rFonts w:ascii="Sylfaen" w:hAnsi="Sylfaen"/>
          <w:b/>
        </w:rPr>
        <w:t>պաշտպանի մասին</w:t>
      </w:r>
      <w:r w:rsidR="007753DE">
        <w:rPr>
          <w:rFonts w:ascii="Sylfaen" w:hAnsi="Sylfaen"/>
          <w:b/>
        </w:rPr>
        <w:t>&gt;</w:t>
      </w:r>
      <w:r w:rsidRPr="00377EC3">
        <w:rPr>
          <w:rFonts w:ascii="Sylfaen" w:hAnsi="Sylfaen"/>
          <w:b/>
        </w:rPr>
        <w:t>&gt; ՀՀ սահմանադրական օրենքում փոփոխություն կատարելու մասին ՀՀ օրենքի նախագծի վերաբերյալ</w:t>
      </w:r>
    </w:p>
    <w:p w14:paraId="08EFDF80" w14:textId="77777777" w:rsidR="00377EC3" w:rsidRDefault="00377EC3" w:rsidP="00434829">
      <w:pPr>
        <w:rPr>
          <w:rFonts w:ascii="Sylfaen" w:hAnsi="Sylfaen"/>
        </w:rPr>
      </w:pPr>
    </w:p>
    <w:p w14:paraId="755DF648" w14:textId="747943CE" w:rsidR="005E3B7A" w:rsidRDefault="00377EC3" w:rsidP="00434829">
      <w:pPr>
        <w:jc w:val="both"/>
        <w:rPr>
          <w:rFonts w:ascii="Sylfaen" w:hAnsi="Sylfaen"/>
        </w:rPr>
      </w:pPr>
      <w:r>
        <w:rPr>
          <w:rFonts w:ascii="Sylfaen" w:hAnsi="Sylfaen"/>
        </w:rPr>
        <w:t>ՀՀ կառավարության կողմից 2021թ. մարտի 11-ին հաստատվել է Մարդու իրավունքների պաշտպանի մասին ՀՀ սահմանադրական օրենքում փոփոխություն կատարելու մասին ՀՀ օրենքի նախագիծը, որով առաջարկվում է ուժը կորցրած ճանաչել նույն օրենքի 8-րդ հոդվածի 5-րդ մասը, որը սահմանում է, որ &lt;</w:t>
      </w:r>
      <w:r w:rsidR="002C0957">
        <w:rPr>
          <w:rFonts w:ascii="Sylfaen" w:hAnsi="Sylfaen"/>
        </w:rPr>
        <w:t xml:space="preserve">յուրաքանչյուր տարի Պաշտպանի և նրա աշխատակազմի, ինչպես նաև Պաշտպանի՝ որպես կանխարգելման ազգային մեխանիզմի ֆինանսավորման համար պետական </w:t>
      </w:r>
      <w:r w:rsidR="00F47B3A">
        <w:rPr>
          <w:rFonts w:ascii="Sylfaen" w:hAnsi="Sylfaen"/>
        </w:rPr>
        <w:t>բյուջեո</w:t>
      </w:r>
      <w:r w:rsidR="00E01AC8">
        <w:rPr>
          <w:rFonts w:ascii="Sylfaen" w:hAnsi="Sylfaen"/>
        </w:rPr>
        <w:t>վ</w:t>
      </w:r>
      <w:r w:rsidR="00F47B3A">
        <w:rPr>
          <w:rFonts w:ascii="Sylfaen" w:hAnsi="Sylfaen"/>
        </w:rPr>
        <w:t xml:space="preserve"> նախատեսված հատկացման չափը չի կարող պակաս լինել նախորդ տարվա պետական բյուջեով </w:t>
      </w:r>
      <w:r w:rsidR="00996FCB">
        <w:rPr>
          <w:rFonts w:ascii="Sylfaen" w:hAnsi="Sylfaen"/>
        </w:rPr>
        <w:t>նախա</w:t>
      </w:r>
      <w:r w:rsidR="00996FCB">
        <w:rPr>
          <w:rFonts w:ascii="Sylfaen" w:hAnsi="Sylfaen"/>
          <w:lang w:val="hy-AM"/>
        </w:rPr>
        <w:t>տե</w:t>
      </w:r>
      <w:r w:rsidR="00F47B3A">
        <w:rPr>
          <w:rFonts w:ascii="Sylfaen" w:hAnsi="Sylfaen"/>
        </w:rPr>
        <w:t>սված հատկացման չափից</w:t>
      </w:r>
      <w:r w:rsidR="00434829">
        <w:rPr>
          <w:rFonts w:ascii="Sylfaen" w:hAnsi="Sylfaen"/>
        </w:rPr>
        <w:t>&gt;</w:t>
      </w:r>
      <w:r w:rsidR="00F47B3A">
        <w:rPr>
          <w:rFonts w:ascii="Sylfaen" w:hAnsi="Sylfaen"/>
        </w:rPr>
        <w:t xml:space="preserve">: </w:t>
      </w:r>
    </w:p>
    <w:p w14:paraId="30BE1E9F" w14:textId="55E58BB0" w:rsidR="0076492F" w:rsidRDefault="007753DE" w:rsidP="00434829">
      <w:pPr>
        <w:jc w:val="both"/>
        <w:rPr>
          <w:rFonts w:ascii="Sylfaen" w:hAnsi="Sylfaen"/>
        </w:rPr>
      </w:pPr>
      <w:r>
        <w:rPr>
          <w:rFonts w:ascii="Sylfaen" w:hAnsi="Sylfaen"/>
        </w:rPr>
        <w:t>Գործող</w:t>
      </w:r>
      <w:r w:rsidR="0076492F">
        <w:rPr>
          <w:rFonts w:ascii="Sylfaen" w:hAnsi="Sylfaen"/>
        </w:rPr>
        <w:t xml:space="preserve"> օրենսդրական երաշխիքը ա</w:t>
      </w:r>
      <w:r w:rsidR="00434829">
        <w:rPr>
          <w:rFonts w:ascii="Sylfaen" w:hAnsi="Sylfaen"/>
        </w:rPr>
        <w:t>ր</w:t>
      </w:r>
      <w:r w:rsidR="0076492F">
        <w:rPr>
          <w:rFonts w:ascii="Sylfaen" w:hAnsi="Sylfaen"/>
        </w:rPr>
        <w:t xml:space="preserve">տացոլում է միջազգային լավագույն փորձն ու չափանիշները՝ երաշխավորելով ՀՀ մարդու իրավունքների պաշտպանի գրասենյակի ֆինանսական </w:t>
      </w:r>
      <w:r w:rsidR="005936EE">
        <w:rPr>
          <w:rFonts w:ascii="Sylfaen" w:hAnsi="Sylfaen"/>
        </w:rPr>
        <w:t xml:space="preserve">կայունությունը և </w:t>
      </w:r>
      <w:r w:rsidR="0076492F">
        <w:rPr>
          <w:rFonts w:ascii="Sylfaen" w:hAnsi="Sylfaen"/>
        </w:rPr>
        <w:t>անկախությունը</w:t>
      </w:r>
      <w:r w:rsidR="00DA5EDB">
        <w:rPr>
          <w:rFonts w:ascii="Sylfaen" w:hAnsi="Sylfaen"/>
        </w:rPr>
        <w:t>՝ որպես վերջինիս գործունեության արդյունավետության էական նախապայման:</w:t>
      </w:r>
      <w:r w:rsidR="00434829">
        <w:rPr>
          <w:rFonts w:ascii="Sylfaen" w:hAnsi="Sylfaen"/>
        </w:rPr>
        <w:t xml:space="preserve"> </w:t>
      </w:r>
    </w:p>
    <w:p w14:paraId="08A973FC" w14:textId="0CFBDF01" w:rsidR="00E01AC8" w:rsidRDefault="005E3B7A" w:rsidP="0043482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Նման </w:t>
      </w:r>
      <w:r w:rsidR="00E01AC8">
        <w:rPr>
          <w:rFonts w:ascii="Sylfaen" w:hAnsi="Sylfaen"/>
        </w:rPr>
        <w:t>փոփոխություն</w:t>
      </w:r>
      <w:r w:rsidR="005936EE">
        <w:rPr>
          <w:rFonts w:ascii="Sylfaen" w:hAnsi="Sylfaen"/>
        </w:rPr>
        <w:t>ն</w:t>
      </w:r>
      <w:r w:rsidR="00E01AC8">
        <w:rPr>
          <w:rFonts w:ascii="Sylfaen" w:hAnsi="Sylfaen"/>
        </w:rPr>
        <w:t xml:space="preserve"> </w:t>
      </w:r>
      <w:r w:rsidR="005936EE">
        <w:rPr>
          <w:rFonts w:ascii="Sylfaen" w:hAnsi="Sylfaen"/>
        </w:rPr>
        <w:t xml:space="preserve">ակնհայտ հետընթաց է սահմանված չափանիշից և </w:t>
      </w:r>
      <w:r>
        <w:rPr>
          <w:rFonts w:ascii="Sylfaen" w:hAnsi="Sylfaen"/>
        </w:rPr>
        <w:t xml:space="preserve">ենթադրում է ՀՀ մարդու իրավունքների պաշտպանի աշխատակազմի ֆինանսավորման կայունության սկզբունքից </w:t>
      </w:r>
      <w:r w:rsidR="00E01AC8">
        <w:rPr>
          <w:rFonts w:ascii="Sylfaen" w:hAnsi="Sylfaen"/>
        </w:rPr>
        <w:t>հրաժարում՝</w:t>
      </w:r>
      <w:r>
        <w:rPr>
          <w:rFonts w:ascii="Sylfaen" w:hAnsi="Sylfaen"/>
        </w:rPr>
        <w:t xml:space="preserve"> ՄԻՊ գրաս</w:t>
      </w:r>
      <w:r w:rsidR="00E01AC8">
        <w:rPr>
          <w:rFonts w:ascii="Sylfaen" w:hAnsi="Sylfaen"/>
        </w:rPr>
        <w:t>են</w:t>
      </w:r>
      <w:r>
        <w:rPr>
          <w:rFonts w:ascii="Sylfaen" w:hAnsi="Sylfaen"/>
        </w:rPr>
        <w:t>յակի բն</w:t>
      </w:r>
      <w:r w:rsidR="00E01AC8">
        <w:rPr>
          <w:rFonts w:ascii="Sylfaen" w:hAnsi="Sylfaen"/>
        </w:rPr>
        <w:t>ուջ</w:t>
      </w:r>
      <w:r>
        <w:rPr>
          <w:rFonts w:ascii="Sylfaen" w:hAnsi="Sylfaen"/>
        </w:rPr>
        <w:t xml:space="preserve">ետային հատկացումներն </w:t>
      </w:r>
      <w:r w:rsidR="007753DE">
        <w:rPr>
          <w:rFonts w:ascii="Sylfaen" w:hAnsi="Sylfaen"/>
        </w:rPr>
        <w:t xml:space="preserve">որոշակիորեն </w:t>
      </w:r>
      <w:r>
        <w:rPr>
          <w:rFonts w:ascii="Sylfaen" w:hAnsi="Sylfaen"/>
        </w:rPr>
        <w:t xml:space="preserve">կախման մեջ դնելով օրվա քաղաքական </w:t>
      </w:r>
      <w:r w:rsidR="00E01AC8">
        <w:rPr>
          <w:rFonts w:ascii="Sylfaen" w:hAnsi="Sylfaen"/>
        </w:rPr>
        <w:t>իշխանությունների</w:t>
      </w:r>
      <w:r>
        <w:rPr>
          <w:rFonts w:ascii="Sylfaen" w:hAnsi="Sylfaen"/>
        </w:rPr>
        <w:t xml:space="preserve"> կամքից: </w:t>
      </w:r>
      <w:r w:rsidR="00E01AC8">
        <w:rPr>
          <w:rFonts w:ascii="Sylfaen" w:hAnsi="Sylfaen"/>
        </w:rPr>
        <w:t>Հետևաբար,</w:t>
      </w:r>
      <w:r>
        <w:rPr>
          <w:rFonts w:ascii="Sylfaen" w:hAnsi="Sylfaen"/>
        </w:rPr>
        <w:t xml:space="preserve"> առանց Մարդու իրավուն</w:t>
      </w:r>
      <w:r w:rsidR="006969C8">
        <w:rPr>
          <w:rFonts w:ascii="Sylfaen" w:hAnsi="Sylfaen"/>
        </w:rPr>
        <w:t>ք</w:t>
      </w:r>
      <w:r>
        <w:rPr>
          <w:rFonts w:ascii="Sylfaen" w:hAnsi="Sylfaen"/>
        </w:rPr>
        <w:t>ների պաշ</w:t>
      </w:r>
      <w:r w:rsidR="006969C8">
        <w:rPr>
          <w:rFonts w:ascii="Sylfaen" w:hAnsi="Sylfaen"/>
        </w:rPr>
        <w:t>տ</w:t>
      </w:r>
      <w:r>
        <w:rPr>
          <w:rFonts w:ascii="Sylfaen" w:hAnsi="Sylfaen"/>
        </w:rPr>
        <w:t>պանի գործո</w:t>
      </w:r>
      <w:r w:rsidR="00E01AC8">
        <w:rPr>
          <w:rFonts w:ascii="Sylfaen" w:hAnsi="Sylfaen"/>
        </w:rPr>
        <w:t>ւ</w:t>
      </w:r>
      <w:r>
        <w:rPr>
          <w:rFonts w:ascii="Sylfaen" w:hAnsi="Sylfaen"/>
        </w:rPr>
        <w:t xml:space="preserve">նեության ֆինանսական կայունության </w:t>
      </w:r>
      <w:r w:rsidR="00E01AC8">
        <w:rPr>
          <w:rFonts w:ascii="Sylfaen" w:hAnsi="Sylfaen"/>
        </w:rPr>
        <w:t xml:space="preserve">և անկախության ապահովման օրենսդրական հստակ երաշխիքների նախատեսման, նման օրենսդրական փոփոխությունն ունակ է խաթարելու Մարդու իրավունքների պաշտպանի և նրա աշխատակազմի գործունեության անկախությունն ու արդյունավետությունը: </w:t>
      </w:r>
    </w:p>
    <w:p w14:paraId="67D34331" w14:textId="3A90C38B" w:rsidR="007E61CF" w:rsidRDefault="005E3B7A" w:rsidP="0043482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Մարդու իրավունքների պաշտպանի </w:t>
      </w:r>
      <w:r w:rsidR="00E01AC8">
        <w:rPr>
          <w:rFonts w:ascii="Sylfaen" w:hAnsi="Sylfaen"/>
        </w:rPr>
        <w:t xml:space="preserve">հաստատության </w:t>
      </w:r>
      <w:r>
        <w:rPr>
          <w:rFonts w:ascii="Sylfaen" w:hAnsi="Sylfaen"/>
        </w:rPr>
        <w:t>անկախության</w:t>
      </w:r>
      <w:r w:rsidR="007E61CF">
        <w:rPr>
          <w:rFonts w:ascii="Sylfaen" w:hAnsi="Sylfaen"/>
        </w:rPr>
        <w:t xml:space="preserve"> </w:t>
      </w:r>
      <w:r>
        <w:rPr>
          <w:rFonts w:ascii="Sylfaen" w:hAnsi="Sylfaen"/>
        </w:rPr>
        <w:t>եր</w:t>
      </w:r>
      <w:r w:rsidR="00E01AC8">
        <w:rPr>
          <w:rFonts w:ascii="Sylfaen" w:hAnsi="Sylfaen"/>
        </w:rPr>
        <w:t>աշ</w:t>
      </w:r>
      <w:r>
        <w:rPr>
          <w:rFonts w:ascii="Sylfaen" w:hAnsi="Sylfaen"/>
        </w:rPr>
        <w:t>խիքներից է նաև ֆինա</w:t>
      </w:r>
      <w:r w:rsidR="00E01AC8">
        <w:rPr>
          <w:rFonts w:ascii="Sylfaen" w:hAnsi="Sylfaen"/>
        </w:rPr>
        <w:t>ն</w:t>
      </w:r>
      <w:r>
        <w:rPr>
          <w:rFonts w:ascii="Sylfaen" w:hAnsi="Sylfaen"/>
        </w:rPr>
        <w:t xml:space="preserve">սական </w:t>
      </w:r>
      <w:r w:rsidR="007E61CF">
        <w:rPr>
          <w:rFonts w:ascii="Sylfaen" w:hAnsi="Sylfaen"/>
        </w:rPr>
        <w:t xml:space="preserve">անկախությունը: Մասնավորապես, </w:t>
      </w:r>
      <w:r w:rsidR="00E01AC8">
        <w:rPr>
          <w:rFonts w:ascii="Sylfaen" w:hAnsi="Sylfaen"/>
        </w:rPr>
        <w:t>Մ</w:t>
      </w:r>
      <w:r w:rsidR="007E61CF">
        <w:rPr>
          <w:rFonts w:ascii="Sylfaen" w:hAnsi="Sylfaen"/>
        </w:rPr>
        <w:t>արդու իրավունքների ազգային ինստիտուտ</w:t>
      </w:r>
      <w:r w:rsidR="006969C8">
        <w:rPr>
          <w:rFonts w:ascii="Sylfaen" w:hAnsi="Sylfaen"/>
        </w:rPr>
        <w:t>ն</w:t>
      </w:r>
      <w:r w:rsidR="007E61CF">
        <w:rPr>
          <w:rFonts w:ascii="Sylfaen" w:hAnsi="Sylfaen"/>
        </w:rPr>
        <w:t xml:space="preserve">երի կարգավիճակի վերաբերյալ </w:t>
      </w:r>
      <w:r w:rsidR="00E01AC8">
        <w:rPr>
          <w:rFonts w:ascii="Sylfaen" w:hAnsi="Sylfaen"/>
        </w:rPr>
        <w:t>ՄԱԿ սկզբունքները (Փարիզյան սկզբունքներ)</w:t>
      </w:r>
      <w:r w:rsidR="00E01AC8">
        <w:rPr>
          <w:rStyle w:val="FootnoteReference"/>
          <w:rFonts w:ascii="Sylfaen" w:hAnsi="Sylfaen"/>
        </w:rPr>
        <w:footnoteReference w:id="1"/>
      </w:r>
      <w:r w:rsidR="00E01AC8">
        <w:rPr>
          <w:rFonts w:ascii="Sylfaen" w:hAnsi="Sylfaen"/>
        </w:rPr>
        <w:t xml:space="preserve"> սահմանում ե</w:t>
      </w:r>
      <w:r w:rsidR="007E61CF">
        <w:rPr>
          <w:rFonts w:ascii="Sylfaen" w:hAnsi="Sylfaen"/>
        </w:rPr>
        <w:t xml:space="preserve">ն, որ </w:t>
      </w:r>
      <w:r w:rsidR="00E01AC8">
        <w:rPr>
          <w:rFonts w:ascii="Sylfaen" w:hAnsi="Sylfaen"/>
        </w:rPr>
        <w:t xml:space="preserve">մարդու իրավունքների </w:t>
      </w:r>
      <w:r w:rsidR="007E61CF">
        <w:rPr>
          <w:rFonts w:ascii="Sylfaen" w:hAnsi="Sylfaen"/>
        </w:rPr>
        <w:t xml:space="preserve">ազգային </w:t>
      </w:r>
      <w:r w:rsidR="00E01AC8">
        <w:rPr>
          <w:rFonts w:ascii="Sylfaen" w:hAnsi="Sylfaen"/>
        </w:rPr>
        <w:t>հաստատությունը</w:t>
      </w:r>
      <w:r w:rsidR="007E61CF">
        <w:rPr>
          <w:rFonts w:ascii="Sylfaen" w:hAnsi="Sylfaen"/>
        </w:rPr>
        <w:t xml:space="preserve"> պետք է ունենա ենթակառուցվածքներ, որոնք ունակ են ապահովելու </w:t>
      </w:r>
      <w:r w:rsidR="00E01AC8">
        <w:rPr>
          <w:rFonts w:ascii="Sylfaen" w:hAnsi="Sylfaen"/>
        </w:rPr>
        <w:t xml:space="preserve">հաստատության </w:t>
      </w:r>
      <w:r w:rsidR="007E61CF">
        <w:rPr>
          <w:rFonts w:ascii="Sylfaen" w:hAnsi="Sylfaen"/>
        </w:rPr>
        <w:t>գործունեության սահուն</w:t>
      </w:r>
      <w:r w:rsidR="00E01AC8">
        <w:rPr>
          <w:rFonts w:ascii="Sylfaen" w:hAnsi="Sylfaen"/>
        </w:rPr>
        <w:t xml:space="preserve"> /անխափան/</w:t>
      </w:r>
      <w:r w:rsidR="007E61CF">
        <w:rPr>
          <w:rFonts w:ascii="Sylfaen" w:hAnsi="Sylfaen"/>
        </w:rPr>
        <w:t xml:space="preserve"> </w:t>
      </w:r>
      <w:r w:rsidR="00E01AC8">
        <w:rPr>
          <w:rFonts w:ascii="Sylfaen" w:hAnsi="Sylfaen"/>
        </w:rPr>
        <w:t>ի</w:t>
      </w:r>
      <w:r w:rsidR="007E61CF">
        <w:rPr>
          <w:rFonts w:ascii="Sylfaen" w:hAnsi="Sylfaen"/>
        </w:rPr>
        <w:t xml:space="preserve">րականացումը, մասնավորապես՝ </w:t>
      </w:r>
      <w:r w:rsidR="00E01AC8">
        <w:rPr>
          <w:rFonts w:ascii="Sylfaen" w:hAnsi="Sylfaen"/>
        </w:rPr>
        <w:t xml:space="preserve">համապատասխան </w:t>
      </w:r>
      <w:r w:rsidR="007E61CF">
        <w:rPr>
          <w:rFonts w:ascii="Sylfaen" w:hAnsi="Sylfaen"/>
        </w:rPr>
        <w:t xml:space="preserve">ֆինանսավորում: Ֆինանսավորման նպատակն է ապահովել </w:t>
      </w:r>
      <w:r w:rsidR="00E01AC8">
        <w:rPr>
          <w:rFonts w:ascii="Sylfaen" w:hAnsi="Sylfaen"/>
        </w:rPr>
        <w:t>հաստատությունն</w:t>
      </w:r>
      <w:r w:rsidR="007E61CF">
        <w:rPr>
          <w:rFonts w:ascii="Sylfaen" w:hAnsi="Sylfaen"/>
        </w:rPr>
        <w:t xml:space="preserve"> իր աշխատակազմով և </w:t>
      </w:r>
      <w:r w:rsidR="00E01AC8">
        <w:rPr>
          <w:rFonts w:ascii="Sylfaen" w:hAnsi="Sylfaen"/>
        </w:rPr>
        <w:t>տարածքով</w:t>
      </w:r>
      <w:r w:rsidR="007E61CF">
        <w:rPr>
          <w:rFonts w:ascii="Sylfaen" w:hAnsi="Sylfaen"/>
        </w:rPr>
        <w:t xml:space="preserve">՝ ի ապահովումն </w:t>
      </w:r>
      <w:r w:rsidR="00E01AC8">
        <w:rPr>
          <w:rFonts w:ascii="Sylfaen" w:hAnsi="Sylfaen"/>
        </w:rPr>
        <w:t xml:space="preserve">հաստատության </w:t>
      </w:r>
      <w:r w:rsidR="007E61CF">
        <w:rPr>
          <w:rFonts w:ascii="Sylfaen" w:hAnsi="Sylfaen"/>
        </w:rPr>
        <w:t xml:space="preserve">անկախության </w:t>
      </w:r>
      <w:r w:rsidR="00E01AC8">
        <w:rPr>
          <w:rFonts w:ascii="Sylfaen" w:hAnsi="Sylfaen"/>
        </w:rPr>
        <w:t xml:space="preserve">Կառավարությունից </w:t>
      </w:r>
      <w:r w:rsidR="007E61CF">
        <w:rPr>
          <w:rFonts w:ascii="Sylfaen" w:hAnsi="Sylfaen"/>
        </w:rPr>
        <w:t xml:space="preserve">և ի բացառումն </w:t>
      </w:r>
      <w:r w:rsidR="00996FCB">
        <w:rPr>
          <w:rFonts w:ascii="Sylfaen" w:hAnsi="Sylfaen"/>
        </w:rPr>
        <w:t>ֆինա</w:t>
      </w:r>
      <w:r w:rsidR="00996FCB">
        <w:rPr>
          <w:rFonts w:ascii="Sylfaen" w:hAnsi="Sylfaen"/>
          <w:lang w:val="hy-AM"/>
        </w:rPr>
        <w:t>նս</w:t>
      </w:r>
      <w:r w:rsidR="007E61CF">
        <w:rPr>
          <w:rFonts w:ascii="Sylfaen" w:hAnsi="Sylfaen"/>
        </w:rPr>
        <w:t>ական վերահսկողության, որը կարող է ազդել հաստատության անկախության վրա:</w:t>
      </w:r>
    </w:p>
    <w:p w14:paraId="2EC594EE" w14:textId="35A6EC5A" w:rsidR="0076492F" w:rsidRPr="00434829" w:rsidRDefault="0076492F" w:rsidP="0043482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434829">
        <w:rPr>
          <w:rFonts w:ascii="Sylfaen" w:hAnsi="Sylfaen"/>
          <w:sz w:val="22"/>
          <w:szCs w:val="22"/>
        </w:rPr>
        <w:lastRenderedPageBreak/>
        <w:t xml:space="preserve">       ՄԱԿ-ի Մարդու իրավունքների գերագույն հանձնակատարի գրասենյակի քարտուղարությամբ գործող Մարդու իրավունքների ազգային հաստատությունների համաշխարհային միավորման</w:t>
      </w:r>
      <w:r w:rsidRPr="00434829">
        <w:rPr>
          <w:rFonts w:ascii="Sylfaen" w:hAnsi="Sylfaen"/>
          <w:sz w:val="22"/>
          <w:szCs w:val="22"/>
          <w:lang w:val="hy-AM"/>
        </w:rPr>
        <w:t xml:space="preserve"> Հավատարմագրման ենթակոմիտեի կողմից մշակված Ընդհանուր դիտարկումները</w:t>
      </w:r>
      <w:r w:rsidRPr="00434829">
        <w:rPr>
          <w:rStyle w:val="FootnoteReference"/>
          <w:rFonts w:ascii="Sylfaen" w:hAnsi="Sylfaen"/>
          <w:sz w:val="22"/>
          <w:szCs w:val="22"/>
          <w:lang w:val="hy-AM"/>
        </w:rPr>
        <w:footnoteReference w:id="2"/>
      </w:r>
      <w:r w:rsidRPr="00434829">
        <w:rPr>
          <w:rFonts w:ascii="Sylfaen" w:hAnsi="Sylfaen"/>
          <w:sz w:val="22"/>
          <w:szCs w:val="22"/>
          <w:lang w:val="hy-AM"/>
        </w:rPr>
        <w:t xml:space="preserve"> ներառում են Փարիզյան սկզբունքների մեկնաբանությունները, որոնք բխեցվել են մարդու իրավունքների ազգային հաստատությունների հավատարմագրման բազմամյա գործընթացից:</w:t>
      </w:r>
    </w:p>
    <w:p w14:paraId="6CEF380A" w14:textId="77777777" w:rsidR="0076492F" w:rsidRPr="00434829" w:rsidRDefault="0076492F" w:rsidP="0043482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434829">
        <w:rPr>
          <w:rFonts w:ascii="Sylfaen" w:hAnsi="Sylfaen"/>
          <w:sz w:val="22"/>
          <w:szCs w:val="22"/>
          <w:lang w:val="hy-AM"/>
        </w:rPr>
        <w:t xml:space="preserve">       Մեկնաբանելով Փարիզյան սկզբունքներով սահմանված «համարժեք ֆինանսավորման» պահանջը՝ ենթակոմիտեն նշել է, որ թեև այս սահմանումը մասնակիորեն պայմանավորվում է ներպետական ֆինանսական վիճակով, պետությունները պարտավորություն ունեն պաշտպանելու հասարակության ամենախոցելի խմբերին, որոնք հաճախ մարդու իրավունքների խախտումների զոհ են դառնում՝ </w:t>
      </w:r>
      <w:r w:rsidRPr="00434829">
        <w:rPr>
          <w:rFonts w:ascii="Sylfaen" w:hAnsi="Sylfaen"/>
          <w:b/>
          <w:sz w:val="22"/>
          <w:szCs w:val="22"/>
          <w:u w:val="single"/>
          <w:lang w:val="hy-AM"/>
        </w:rPr>
        <w:t>նույնիսկ ռեսուրսների սուր սահմանափակումների դեպքում:</w:t>
      </w:r>
      <w:r w:rsidRPr="00434829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434829">
        <w:rPr>
          <w:rFonts w:ascii="Sylfaen" w:hAnsi="Sylfaen"/>
          <w:sz w:val="22"/>
          <w:szCs w:val="22"/>
          <w:lang w:val="hy-AM"/>
        </w:rPr>
        <w:t xml:space="preserve">Ենթակոմիտեն վստահ է, որ այնուամենայնիվ, հնարավոր է առանձնացնել Փարիզյան սկզբունքներով ամրագրված այս պահանջի առանձին ասպեկտներ, որոնք </w:t>
      </w:r>
      <w:r w:rsidRPr="00434829">
        <w:rPr>
          <w:rFonts w:ascii="Sylfaen" w:hAnsi="Sylfaen"/>
          <w:b/>
          <w:sz w:val="22"/>
          <w:szCs w:val="22"/>
          <w:u w:val="single"/>
          <w:lang w:val="hy-AM"/>
        </w:rPr>
        <w:t>պետք է հաշվի առնվեն ցանկացած հատուկ իրավիճակում</w:t>
      </w:r>
      <w:r w:rsidRPr="00434829">
        <w:rPr>
          <w:rFonts w:ascii="Sylfaen" w:hAnsi="Sylfaen"/>
          <w:sz w:val="22"/>
          <w:szCs w:val="22"/>
          <w:lang w:val="hy-AM"/>
        </w:rPr>
        <w:t>: Դրանք ներառում են.</w:t>
      </w:r>
    </w:p>
    <w:p w14:paraId="3045BFB6" w14:textId="77777777" w:rsidR="0076492F" w:rsidRPr="005110D5" w:rsidRDefault="0076492F" w:rsidP="0043482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sz w:val="20"/>
          <w:szCs w:val="20"/>
          <w:lang w:val="hy-AM"/>
        </w:rPr>
      </w:pPr>
    </w:p>
    <w:p w14:paraId="7ED86821" w14:textId="77777777" w:rsidR="0076492F" w:rsidRDefault="0076492F" w:rsidP="004348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Հանրության համար մատչելիությունը </w:t>
      </w:r>
    </w:p>
    <w:p w14:paraId="4F1FB0F9" w14:textId="77777777" w:rsidR="0076492F" w:rsidRDefault="0076492F" w:rsidP="004348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Մարդու իրավունքների ազգային հաստատության աշխատակազմը</w:t>
      </w:r>
    </w:p>
    <w:p w14:paraId="0DD52B62" w14:textId="77777777" w:rsidR="0076492F" w:rsidRDefault="0076492F" w:rsidP="004348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Հաստատության անդամները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</w:rPr>
        <w:t>(</w:t>
      </w:r>
      <w:r>
        <w:rPr>
          <w:rFonts w:ascii="Sylfaen" w:hAnsi="Sylfaen"/>
          <w:sz w:val="20"/>
          <w:szCs w:val="20"/>
          <w:lang w:val="ru-RU"/>
        </w:rPr>
        <w:t>տվյալ</w:t>
      </w:r>
      <w:r w:rsidRPr="00D27CFC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դեպքում</w:t>
      </w:r>
      <w:r w:rsidRPr="00D27CFC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Պաշտպանը</w:t>
      </w:r>
      <w:r>
        <w:rPr>
          <w:rFonts w:ascii="Sylfaen" w:hAnsi="Sylfaen"/>
          <w:sz w:val="20"/>
          <w:szCs w:val="20"/>
        </w:rPr>
        <w:t>)</w:t>
      </w:r>
    </w:p>
    <w:p w14:paraId="45EE09CB" w14:textId="77777777" w:rsidR="0076492F" w:rsidRDefault="0076492F" w:rsidP="004348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Հաղորդակցության ենթակառուցվածքը</w:t>
      </w:r>
    </w:p>
    <w:p w14:paraId="57FA9D9E" w14:textId="55103B6C" w:rsidR="0076492F" w:rsidRDefault="0076492F" w:rsidP="004348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Գործունեության իրականացման համար հատկացումները </w:t>
      </w:r>
      <w:r w:rsidRPr="00D27CFC">
        <w:rPr>
          <w:rFonts w:ascii="Sylfaen" w:hAnsi="Sylfaen"/>
          <w:sz w:val="20"/>
          <w:szCs w:val="20"/>
        </w:rPr>
        <w:t>(</w:t>
      </w:r>
      <w:r>
        <w:rPr>
          <w:rFonts w:ascii="Sylfaen" w:hAnsi="Sylfaen"/>
          <w:sz w:val="20"/>
          <w:szCs w:val="20"/>
          <w:lang w:val="hy-AM"/>
        </w:rPr>
        <w:t xml:space="preserve">Ազգային հաստատությունները պետք է ստանան համարժեք </w:t>
      </w:r>
      <w:r>
        <w:rPr>
          <w:rFonts w:ascii="Sylfaen" w:hAnsi="Sylfaen"/>
          <w:sz w:val="20"/>
          <w:szCs w:val="20"/>
          <w:lang w:val="ru-RU"/>
        </w:rPr>
        <w:t>հանրային</w:t>
      </w:r>
      <w:r>
        <w:rPr>
          <w:rFonts w:ascii="Sylfaen" w:hAnsi="Sylfaen"/>
          <w:sz w:val="20"/>
          <w:szCs w:val="20"/>
          <w:lang w:val="hy-AM"/>
        </w:rPr>
        <w:t xml:space="preserve"> ֆինանսավորում իրենց վերապահված լիազորությունները իրականացնելու համար: Ոչ բավարար բյուջեն կարող է ազգային հաստատությանը դարձնել ոչ արդյունավետ կամ սահմանափակել նրա լիարժեք արդյունավ</w:t>
      </w:r>
      <w:r w:rsidR="00996FCB">
        <w:rPr>
          <w:rFonts w:ascii="Sylfaen" w:hAnsi="Sylfaen"/>
          <w:sz w:val="20"/>
          <w:szCs w:val="20"/>
          <w:lang w:val="hy-AM"/>
        </w:rPr>
        <w:t>ե</w:t>
      </w:r>
      <w:r>
        <w:rPr>
          <w:rFonts w:ascii="Sylfaen" w:hAnsi="Sylfaen"/>
          <w:sz w:val="20"/>
          <w:szCs w:val="20"/>
          <w:lang w:val="hy-AM"/>
        </w:rPr>
        <w:t>տությունը: Եթե հաստատությանը պետության կողմից վերապահված են լրացուցիչ գործառույթներ</w:t>
      </w:r>
      <w:r w:rsidRPr="00D27CFC">
        <w:rPr>
          <w:rFonts w:ascii="Sylfaen" w:hAnsi="Sylfaen"/>
          <w:sz w:val="20"/>
          <w:szCs w:val="20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օրինակ՝ ազգային կանխարգելման մեխանիզմի գործառույթներ՝ մարդու իրավունքների միջազգային </w:t>
      </w:r>
      <w:r>
        <w:rPr>
          <w:rFonts w:ascii="Sylfaen" w:hAnsi="Sylfaen"/>
          <w:sz w:val="20"/>
          <w:szCs w:val="20"/>
          <w:lang w:val="ru-RU"/>
        </w:rPr>
        <w:t>պայմանագրի</w:t>
      </w:r>
      <w:r>
        <w:rPr>
          <w:rFonts w:ascii="Sylfaen" w:hAnsi="Sylfaen"/>
          <w:sz w:val="20"/>
          <w:szCs w:val="20"/>
          <w:lang w:val="hy-AM"/>
        </w:rPr>
        <w:t xml:space="preserve"> համաձայն, պետք է </w:t>
      </w:r>
      <w:r>
        <w:rPr>
          <w:rFonts w:ascii="Sylfaen" w:hAnsi="Sylfaen"/>
          <w:sz w:val="20"/>
          <w:szCs w:val="20"/>
          <w:lang w:val="ru-RU"/>
        </w:rPr>
        <w:t>ապահովվեն</w:t>
      </w:r>
      <w:r>
        <w:rPr>
          <w:rFonts w:ascii="Sylfaen" w:hAnsi="Sylfaen"/>
          <w:sz w:val="20"/>
          <w:szCs w:val="20"/>
          <w:lang w:val="hy-AM"/>
        </w:rPr>
        <w:t xml:space="preserve"> լրացուցիչ ֆինանսական ռեսուրսներ այդ գործառույթների իրականացումն ապահովելու համար</w:t>
      </w:r>
      <w:r w:rsidRPr="00D27CFC">
        <w:rPr>
          <w:rFonts w:ascii="Sylfaen" w:hAnsi="Sylfaen"/>
          <w:sz w:val="20"/>
          <w:szCs w:val="20"/>
        </w:rPr>
        <w:t>)</w:t>
      </w:r>
      <w:r>
        <w:rPr>
          <w:rFonts w:ascii="Sylfaen" w:hAnsi="Sylfaen"/>
          <w:sz w:val="20"/>
          <w:szCs w:val="20"/>
          <w:lang w:val="hy-AM"/>
        </w:rPr>
        <w:t xml:space="preserve">: </w:t>
      </w:r>
    </w:p>
    <w:p w14:paraId="29B36CB4" w14:textId="77777777" w:rsidR="00434829" w:rsidRDefault="00434829" w:rsidP="00434829">
      <w:pPr>
        <w:jc w:val="both"/>
        <w:rPr>
          <w:rFonts w:ascii="Sylfaen" w:hAnsi="Sylfaen"/>
        </w:rPr>
      </w:pPr>
    </w:p>
    <w:p w14:paraId="1FA32AE1" w14:textId="11D43953" w:rsidR="00EC298E" w:rsidRDefault="00EC298E" w:rsidP="0043482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Եվրոպայի խորհրդի խորհրդարանական վերաժողովի </w:t>
      </w:r>
      <w:r w:rsidRPr="00EC298E">
        <w:rPr>
          <w:rFonts w:ascii="Sylfaen" w:hAnsi="Sylfaen"/>
        </w:rPr>
        <w:t>1615(2003</w:t>
      </w:r>
      <w:r w:rsidR="007753DE">
        <w:rPr>
          <w:rFonts w:ascii="Sylfaen" w:hAnsi="Sylfaen"/>
        </w:rPr>
        <w:t>)</w:t>
      </w:r>
      <w:r>
        <w:rPr>
          <w:rFonts w:ascii="Sylfaen" w:hAnsi="Sylfaen"/>
        </w:rPr>
        <w:t xml:space="preserve"> հանձնարարականը Օմբուդսմանի հաստատությունների վերաբերյալ, սահմանում է, որ &lt;ցանկացած Օմբուդսմանի հաստա</w:t>
      </w:r>
      <w:r w:rsidR="00996FCB">
        <w:rPr>
          <w:rFonts w:ascii="Sylfaen" w:hAnsi="Sylfaen"/>
          <w:lang w:val="hy-AM"/>
        </w:rPr>
        <w:t>տ</w:t>
      </w:r>
      <w:r>
        <w:rPr>
          <w:rFonts w:ascii="Sylfaen" w:hAnsi="Sylfaen"/>
        </w:rPr>
        <w:t>ության արդյունավետ գործունեության համար էական է ունենալ երաշխավորված բավարար ռեսուրսներ հաստատության բոլոր պարտականությունների իրականացման համար</w:t>
      </w:r>
      <w:r w:rsidR="0053004B">
        <w:rPr>
          <w:rFonts w:ascii="Sylfaen" w:hAnsi="Sylfaen"/>
        </w:rPr>
        <w:t xml:space="preserve">&gt;…: </w:t>
      </w:r>
      <w:r w:rsidR="0053004B">
        <w:rPr>
          <w:rStyle w:val="FootnoteReference"/>
          <w:rFonts w:ascii="Sylfaen" w:hAnsi="Sylfaen"/>
        </w:rPr>
        <w:footnoteReference w:id="3"/>
      </w:r>
      <w:r w:rsidR="0053004B">
        <w:rPr>
          <w:rFonts w:ascii="Sylfaen" w:hAnsi="Sylfaen"/>
        </w:rPr>
        <w:t xml:space="preserve"> </w:t>
      </w:r>
    </w:p>
    <w:p w14:paraId="51B0B408" w14:textId="77777777" w:rsidR="00EC298E" w:rsidRDefault="007E61CF" w:rsidP="00434829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Վենետիկ</w:t>
      </w:r>
      <w:r w:rsidR="00875A40">
        <w:rPr>
          <w:rFonts w:ascii="Sylfaen" w:hAnsi="Sylfaen"/>
        </w:rPr>
        <w:t>ի</w:t>
      </w:r>
      <w:r>
        <w:rPr>
          <w:rFonts w:ascii="Sylfaen" w:hAnsi="Sylfaen"/>
        </w:rPr>
        <w:t xml:space="preserve"> </w:t>
      </w:r>
      <w:r w:rsidR="00E01AC8">
        <w:rPr>
          <w:rFonts w:ascii="Sylfaen" w:hAnsi="Sylfaen"/>
        </w:rPr>
        <w:t>հանձնաժողովի կողմից ընդունված Օմբուդսմանի հաստատության պաշտպանության և խթանման վերաբերյալ սկզբունքները /Վենետիկյան սկզբունքներ/</w:t>
      </w:r>
      <w:r w:rsidR="00E01AC8">
        <w:rPr>
          <w:rStyle w:val="FootnoteReference"/>
          <w:rFonts w:ascii="Sylfaen" w:hAnsi="Sylfaen"/>
        </w:rPr>
        <w:footnoteReference w:id="4"/>
      </w:r>
      <w:r w:rsidR="00E01AC8">
        <w:rPr>
          <w:rFonts w:ascii="Sylfaen" w:hAnsi="Sylfaen"/>
        </w:rPr>
        <w:t xml:space="preserve"> սահմանում են, որ </w:t>
      </w:r>
      <w:r>
        <w:rPr>
          <w:rFonts w:ascii="Sylfaen" w:hAnsi="Sylfaen"/>
        </w:rPr>
        <w:t xml:space="preserve">Օմբուդսմանի հաստատությունը պետք է ապահովված լինի բավարար և անկախ բյուջետային միջոցներով: </w:t>
      </w:r>
      <w:r w:rsidR="00E01AC8">
        <w:rPr>
          <w:rFonts w:ascii="Sylfaen" w:hAnsi="Sylfaen"/>
        </w:rPr>
        <w:t>Օրենքը</w:t>
      </w:r>
      <w:r>
        <w:rPr>
          <w:rFonts w:ascii="Sylfaen" w:hAnsi="Sylfaen"/>
        </w:rPr>
        <w:t xml:space="preserve"> պետք է նախատեսի, որ Օ</w:t>
      </w:r>
      <w:r w:rsidR="00E01AC8">
        <w:rPr>
          <w:rFonts w:ascii="Sylfaen" w:hAnsi="Sylfaen"/>
        </w:rPr>
        <w:t>մբ</w:t>
      </w:r>
      <w:r>
        <w:rPr>
          <w:rFonts w:ascii="Sylfaen" w:hAnsi="Sylfaen"/>
        </w:rPr>
        <w:t>ուդսմանի հաստատության բյո</w:t>
      </w:r>
      <w:r w:rsidR="00EC298E">
        <w:rPr>
          <w:rFonts w:ascii="Sylfaen" w:hAnsi="Sylfaen"/>
        </w:rPr>
        <w:t>ւջետ</w:t>
      </w:r>
      <w:r>
        <w:rPr>
          <w:rFonts w:ascii="Sylfaen" w:hAnsi="Sylfaen"/>
        </w:rPr>
        <w:t xml:space="preserve">ային հատկացումները պետք է </w:t>
      </w:r>
      <w:r w:rsidR="00EC298E">
        <w:rPr>
          <w:rFonts w:ascii="Sylfaen" w:hAnsi="Sylfaen"/>
        </w:rPr>
        <w:t xml:space="preserve">համապատասխանեն հաստատության պարտականությունների և գործառույթների լիարժեք, անկախ և արդյունավետ իրականացման անհրաժեշտությանը: </w:t>
      </w:r>
      <w:r w:rsidR="00EC298E" w:rsidRPr="007753DE">
        <w:rPr>
          <w:rFonts w:ascii="Sylfaen" w:hAnsi="Sylfaen"/>
        </w:rPr>
        <w:t>Բյուջեի հատկացումների շուրջ Օմբուդ</w:t>
      </w:r>
      <w:r w:rsidR="0076492F" w:rsidRPr="007753DE">
        <w:rPr>
          <w:rFonts w:ascii="Sylfaen" w:hAnsi="Sylfaen"/>
        </w:rPr>
        <w:t>ս</w:t>
      </w:r>
      <w:r w:rsidR="00EC298E" w:rsidRPr="007753DE">
        <w:rPr>
          <w:rFonts w:ascii="Sylfaen" w:hAnsi="Sylfaen"/>
        </w:rPr>
        <w:t>մանը պետք է խորհրդակցվի և ներկայացնի բյուջեի նախագիծ:</w:t>
      </w:r>
      <w:r w:rsidR="00EC298E">
        <w:rPr>
          <w:rFonts w:ascii="Sylfaen" w:hAnsi="Sylfaen"/>
        </w:rPr>
        <w:t xml:space="preserve"> Հաստատված տարեկան բյուջեն չի կարող կրճատվել, եթե նման կրճատումները չեն վերաբերում այլ պետական </w:t>
      </w:r>
      <w:r w:rsidR="006969C8">
        <w:rPr>
          <w:rFonts w:ascii="Sylfaen" w:hAnsi="Sylfaen"/>
        </w:rPr>
        <w:t>հաստատությունների</w:t>
      </w:r>
      <w:r w:rsidR="00EC298E">
        <w:rPr>
          <w:rFonts w:ascii="Sylfaen" w:hAnsi="Sylfaen"/>
        </w:rPr>
        <w:t xml:space="preserve"> ևս: </w:t>
      </w:r>
    </w:p>
    <w:p w14:paraId="02F77CE3" w14:textId="4D8DD424" w:rsidR="00CF3960" w:rsidRPr="007753DE" w:rsidRDefault="00686445" w:rsidP="00434829">
      <w:pPr>
        <w:jc w:val="both"/>
        <w:rPr>
          <w:rFonts w:ascii="Sylfaen" w:hAnsi="Sylfaen"/>
        </w:rPr>
      </w:pPr>
      <w:r>
        <w:rPr>
          <w:rFonts w:ascii="Sylfaen" w:hAnsi="Sylfaen"/>
        </w:rPr>
        <w:t>Վենետիկի հանձնաժողո</w:t>
      </w:r>
      <w:r w:rsidR="00EC298E">
        <w:rPr>
          <w:rFonts w:ascii="Sylfaen" w:hAnsi="Sylfaen"/>
        </w:rPr>
        <w:t>վն</w:t>
      </w:r>
      <w:r>
        <w:rPr>
          <w:rFonts w:ascii="Sylfaen" w:hAnsi="Sylfaen"/>
        </w:rPr>
        <w:t xml:space="preserve"> իր մի շարք կարծիքներում անդրադարձել է Մարդու իրավունքների </w:t>
      </w:r>
      <w:r w:rsidR="00EC298E">
        <w:rPr>
          <w:rFonts w:ascii="Sylfaen" w:hAnsi="Sylfaen"/>
        </w:rPr>
        <w:t>պաշտպանի</w:t>
      </w:r>
      <w:r>
        <w:rPr>
          <w:rFonts w:ascii="Sylfaen" w:hAnsi="Sylfaen"/>
        </w:rPr>
        <w:t xml:space="preserve"> </w:t>
      </w:r>
      <w:r w:rsidR="00EC298E">
        <w:rPr>
          <w:rFonts w:ascii="Sylfaen" w:hAnsi="Sylfaen"/>
        </w:rPr>
        <w:t>հա</w:t>
      </w:r>
      <w:r>
        <w:rPr>
          <w:rFonts w:ascii="Sylfaen" w:hAnsi="Sylfaen"/>
        </w:rPr>
        <w:t>ստատությունների ֆինանսավորման և ֆինա</w:t>
      </w:r>
      <w:r w:rsidR="00996FCB">
        <w:rPr>
          <w:rFonts w:ascii="Sylfaen" w:hAnsi="Sylfaen"/>
          <w:lang w:val="hy-AM"/>
        </w:rPr>
        <w:t>նս</w:t>
      </w:r>
      <w:r>
        <w:rPr>
          <w:rFonts w:ascii="Sylfaen" w:hAnsi="Sylfaen"/>
        </w:rPr>
        <w:t>ական անկա</w:t>
      </w:r>
      <w:r w:rsidR="00EC298E">
        <w:rPr>
          <w:rFonts w:ascii="Sylfaen" w:hAnsi="Sylfaen"/>
        </w:rPr>
        <w:t>խ</w:t>
      </w:r>
      <w:r>
        <w:rPr>
          <w:rFonts w:ascii="Sylfaen" w:hAnsi="Sylfaen"/>
        </w:rPr>
        <w:t>ության ապահով</w:t>
      </w:r>
      <w:r w:rsidR="00EC298E">
        <w:rPr>
          <w:rFonts w:ascii="Sylfaen" w:hAnsi="Sylfaen"/>
        </w:rPr>
        <w:t>մ</w:t>
      </w:r>
      <w:r>
        <w:rPr>
          <w:rFonts w:ascii="Sylfaen" w:hAnsi="Sylfaen"/>
        </w:rPr>
        <w:t xml:space="preserve">ան խնդրին: Օրինակ, Մոլդովայի Հանրապետության Մարդու </w:t>
      </w:r>
      <w:r w:rsidR="00EC298E">
        <w:rPr>
          <w:rFonts w:ascii="Sylfaen" w:hAnsi="Sylfaen"/>
        </w:rPr>
        <w:t xml:space="preserve">իրավունքների </w:t>
      </w:r>
      <w:r w:rsidR="002E39BE">
        <w:rPr>
          <w:rFonts w:ascii="Sylfaen" w:hAnsi="Sylfaen"/>
        </w:rPr>
        <w:t xml:space="preserve">հաստատության ֆինանսավորման վերաբերյալ կարծիքում Վենետիկի հանձնաժողովն ընդգծել է Օմբուդսմանի հաստատության ֆինանսական անկախությունը՝ ընդգծելով, որ օրենքը պետք է հստակորեն ամրագրի, որ բյուջետային </w:t>
      </w:r>
      <w:r w:rsidR="001E1A24">
        <w:rPr>
          <w:rFonts w:ascii="Sylfaen" w:hAnsi="Sylfaen"/>
        </w:rPr>
        <w:t>հատկա</w:t>
      </w:r>
      <w:r w:rsidR="002E39BE">
        <w:rPr>
          <w:rFonts w:ascii="Sylfaen" w:hAnsi="Sylfaen"/>
        </w:rPr>
        <w:t xml:space="preserve">ցումները պետք է բավարար լինեն հաստատության գործառույթների լիարժեք, անկախ և արդյունավետ իրականացման համար՝ հիմնված այնպիսի չափանիշների վրա, </w:t>
      </w:r>
      <w:r w:rsidR="002E39BE" w:rsidRPr="007753DE">
        <w:rPr>
          <w:rFonts w:ascii="Sylfaen" w:hAnsi="Sylfaen"/>
        </w:rPr>
        <w:t>ինչպիսիք են,  օրինակ, նախորդ տարվա ընթացքում հաստատության կողմից ստացված բողոքների քանակը:</w:t>
      </w:r>
      <w:r w:rsidR="002E39BE">
        <w:rPr>
          <w:rStyle w:val="FootnoteReference"/>
          <w:rFonts w:ascii="Sylfaen" w:hAnsi="Sylfaen"/>
        </w:rPr>
        <w:footnoteReference w:id="5"/>
      </w:r>
      <w:r w:rsidR="002E39BE">
        <w:rPr>
          <w:rFonts w:ascii="Sylfaen" w:hAnsi="Sylfaen"/>
        </w:rPr>
        <w:t xml:space="preserve"> Նույն կարծիքում Վենետիկի հանձնաժողովը բացասաբար է արձագանքել Մարդու իրավունքների հաստատության մասին օրենքում փոփոխություններին, որոնք կարող են առաջացնել հաստատության բյուջեի հնարավոր սահմանափակումներ</w:t>
      </w:r>
      <w:r w:rsidR="00CF3960">
        <w:rPr>
          <w:rFonts w:ascii="Sylfaen" w:hAnsi="Sylfaen"/>
        </w:rPr>
        <w:t>՝ չբացառելով նաև կառավարության հնարավոր միջամտությունը հաստատությանը բյուջետային հատկացումների իրականացմանը: Վենետիկի հանձնաժողովը նման օրենսդրական փոփոխության նախագիծը գնահատել է որպես հետընթաց քայլ, քանի որ այն անհստակ էր, ընդհանուր հղո</w:t>
      </w:r>
      <w:r w:rsidR="001E1A24">
        <w:rPr>
          <w:rFonts w:ascii="Sylfaen" w:hAnsi="Sylfaen"/>
        </w:rPr>
        <w:t>ւ</w:t>
      </w:r>
      <w:r w:rsidR="00CF3960">
        <w:rPr>
          <w:rFonts w:ascii="Sylfaen" w:hAnsi="Sylfaen"/>
        </w:rPr>
        <w:t xml:space="preserve">մ էր կատարում վերաբերելի օրենքներին և զրկում </w:t>
      </w:r>
      <w:r w:rsidR="00CF3960" w:rsidRPr="007753DE">
        <w:rPr>
          <w:rFonts w:ascii="Sylfaen" w:hAnsi="Sylfaen"/>
        </w:rPr>
        <w:t>էր Օմբուդսմանին բյուջեի նախագիծ ներկայացնելու լիազորությունից:</w:t>
      </w:r>
      <w:r w:rsidR="00CF3960" w:rsidRPr="007753DE">
        <w:rPr>
          <w:rStyle w:val="FootnoteReference"/>
          <w:rFonts w:ascii="Sylfaen" w:hAnsi="Sylfaen"/>
        </w:rPr>
        <w:footnoteReference w:id="6"/>
      </w:r>
      <w:r w:rsidR="00CF3960" w:rsidRPr="007753DE">
        <w:rPr>
          <w:rFonts w:ascii="Sylfaen" w:hAnsi="Sylfaen"/>
        </w:rPr>
        <w:t xml:space="preserve"> </w:t>
      </w:r>
    </w:p>
    <w:p w14:paraId="1E44A566" w14:textId="4E65EF6C" w:rsidR="007753DE" w:rsidRDefault="007753DE" w:rsidP="00434829">
      <w:pPr>
        <w:shd w:val="clear" w:color="auto" w:fill="FFFFFF"/>
        <w:jc w:val="both"/>
        <w:rPr>
          <w:rFonts w:ascii="Sylfaen" w:eastAsia="Times New Roman" w:hAnsi="Sylfaen" w:cs="Times New Roman"/>
          <w:color w:val="222222"/>
        </w:rPr>
      </w:pPr>
      <w:r w:rsidRPr="007753DE">
        <w:rPr>
          <w:rFonts w:ascii="Sylfaen" w:eastAsia="Times New Roman" w:hAnsi="Sylfaen" w:cs="Times New Roman"/>
          <w:color w:val="222222"/>
          <w:lang w:val="hy-AM"/>
        </w:rPr>
        <w:lastRenderedPageBreak/>
        <w:t>Ելնելով վերոգրյալ հիմնավորումներից՝ գտնում ենք, որ</w:t>
      </w:r>
      <w:r>
        <w:rPr>
          <w:rFonts w:ascii="Sylfaen" w:eastAsia="Times New Roman" w:hAnsi="Sylfaen" w:cs="Times New Roman"/>
          <w:color w:val="222222"/>
        </w:rPr>
        <w:t xml:space="preserve"> &lt;&lt;</w:t>
      </w:r>
      <w:r w:rsidRPr="007753DE">
        <w:rPr>
          <w:rFonts w:ascii="Sylfaen" w:eastAsia="Times New Roman" w:hAnsi="Sylfaen" w:cs="Times New Roman"/>
          <w:color w:val="222222"/>
        </w:rPr>
        <w:t>Մարդու իրավունքների պաշտպանի մասին</w:t>
      </w:r>
      <w:r>
        <w:rPr>
          <w:rFonts w:ascii="Sylfaen" w:eastAsia="Times New Roman" w:hAnsi="Sylfaen" w:cs="Times New Roman"/>
          <w:color w:val="222222"/>
        </w:rPr>
        <w:t>&gt;&gt;</w:t>
      </w:r>
      <w:r w:rsidRPr="007753DE">
        <w:rPr>
          <w:rFonts w:ascii="Sylfaen" w:eastAsia="Times New Roman" w:hAnsi="Sylfaen" w:cs="Times New Roman"/>
          <w:color w:val="222222"/>
        </w:rPr>
        <w:t xml:space="preserve"> ՀՀ օրենքի 8-րդ հոդվածի 5-րդ մասով սահմանված երաշխիքը ենթակա է պահպանման:</w:t>
      </w:r>
    </w:p>
    <w:p w14:paraId="319B90B9" w14:textId="076F6B6B" w:rsidR="00434829" w:rsidRDefault="00434829" w:rsidP="00434829">
      <w:pPr>
        <w:shd w:val="clear" w:color="auto" w:fill="FFFFFF"/>
        <w:jc w:val="both"/>
        <w:rPr>
          <w:rFonts w:ascii="Sylfaen" w:eastAsia="Times New Roman" w:hAnsi="Sylfaen" w:cs="Times New Roman"/>
          <w:color w:val="222222"/>
        </w:rPr>
      </w:pPr>
      <w:r>
        <w:rPr>
          <w:rFonts w:ascii="Sylfaen" w:eastAsia="Times New Roman" w:hAnsi="Sylfaen" w:cs="Times New Roman"/>
          <w:color w:val="222222"/>
        </w:rPr>
        <w:t>Միաժամանակ, ՀՀ ֆինանսների նախարարության կողմից մատնանշված հնարավոր խնդիրը</w:t>
      </w:r>
      <w:r>
        <w:rPr>
          <w:rStyle w:val="FootnoteReference"/>
          <w:rFonts w:ascii="Sylfaen" w:eastAsia="Times New Roman" w:hAnsi="Sylfaen" w:cs="Times New Roman"/>
          <w:color w:val="222222"/>
        </w:rPr>
        <w:footnoteReference w:id="7"/>
      </w:r>
      <w:r>
        <w:rPr>
          <w:rFonts w:ascii="Sylfaen" w:eastAsia="Times New Roman" w:hAnsi="Sylfaen" w:cs="Times New Roman"/>
          <w:color w:val="222222"/>
        </w:rPr>
        <w:t xml:space="preserve"> կարող է լուծվել գործող կարգավորմամբ բացառություն սահմանելով. այն է՝ &lt;&lt;երբ </w:t>
      </w:r>
      <w:r w:rsidRPr="00434829">
        <w:rPr>
          <w:rFonts w:ascii="Sylfaen" w:eastAsia="Times New Roman" w:hAnsi="Sylfaen" w:cs="Times New Roman"/>
          <w:color w:val="222222"/>
        </w:rPr>
        <w:t>Պաշտպանի և նրա աշխատակազմի առաջիկա տարվա բ</w:t>
      </w:r>
      <w:r>
        <w:rPr>
          <w:rFonts w:ascii="Sylfaen" w:eastAsia="Times New Roman" w:hAnsi="Sylfaen" w:cs="Times New Roman"/>
          <w:color w:val="222222"/>
        </w:rPr>
        <w:t>յուջետային ֆինանսավորման հայտով  ներկայացված</w:t>
      </w:r>
      <w:r w:rsidRPr="003D1F2B">
        <w:rPr>
          <w:rFonts w:ascii="Sylfaen" w:eastAsia="Times New Roman" w:hAnsi="Sylfaen" w:cs="Times New Roman"/>
          <w:color w:val="222222"/>
        </w:rPr>
        <w:t> </w:t>
      </w:r>
      <w:r>
        <w:rPr>
          <w:rFonts w:ascii="Sylfaen" w:eastAsia="Times New Roman" w:hAnsi="Sylfaen" w:cs="Times New Roman"/>
          <w:color w:val="222222"/>
        </w:rPr>
        <w:t>բյուջետային հատկացման չափը պակաս է նախորդ տարվա պետական բյուջով նախատեսված հատկացման չափից&gt;&gt;:</w:t>
      </w:r>
    </w:p>
    <w:p w14:paraId="5878ACA7" w14:textId="40FE956F" w:rsidR="003D1F2B" w:rsidRDefault="003D1F2B" w:rsidP="00434829">
      <w:pPr>
        <w:shd w:val="clear" w:color="auto" w:fill="FFFFFF"/>
        <w:jc w:val="both"/>
        <w:rPr>
          <w:rFonts w:ascii="Sylfaen" w:eastAsia="Times New Roman" w:hAnsi="Sylfaen" w:cs="Times New Roman"/>
          <w:color w:val="222222"/>
        </w:rPr>
      </w:pPr>
    </w:p>
    <w:p w14:paraId="01B7A689" w14:textId="77777777" w:rsidR="003D1F2B" w:rsidRDefault="003D1F2B" w:rsidP="00434829">
      <w:pPr>
        <w:shd w:val="clear" w:color="auto" w:fill="FFFFFF"/>
        <w:jc w:val="both"/>
        <w:rPr>
          <w:rFonts w:ascii="Sylfaen" w:eastAsia="Times New Roman" w:hAnsi="Sylfaen" w:cs="Times New Roman"/>
          <w:color w:val="222222"/>
        </w:rPr>
      </w:pPr>
    </w:p>
    <w:p w14:paraId="3637D31B" w14:textId="6BD70103" w:rsidR="003D1F2B" w:rsidRPr="003D1F2B" w:rsidRDefault="003D1F2B" w:rsidP="003D1F2B">
      <w:pPr>
        <w:shd w:val="clear" w:color="auto" w:fill="FFFFFF"/>
        <w:rPr>
          <w:rFonts w:ascii="Sylfaen" w:eastAsia="Times New Roman" w:hAnsi="Sylfaen" w:cs="Times New Roman"/>
          <w:color w:val="222222"/>
        </w:rPr>
      </w:pPr>
      <w:r w:rsidRPr="003D1F2B">
        <w:rPr>
          <w:rFonts w:ascii="Sylfaen" w:eastAsia="Times New Roman" w:hAnsi="Sylfaen" w:cs="Times New Roman"/>
          <w:color w:val="222222"/>
        </w:rPr>
        <w:t>Իրավունքների պաշտպանություն առանց սահմանների ՀԿ</w:t>
      </w:r>
      <w:r w:rsidRPr="003D1F2B">
        <w:rPr>
          <w:rFonts w:ascii="Sylfaen" w:eastAsia="Times New Roman" w:hAnsi="Sylfaen" w:cs="Times New Roman"/>
          <w:color w:val="222222"/>
        </w:rPr>
        <w:br/>
        <w:t>Թրանսփարենսի Ինթերնեշնլ հակակոռուպցիոն կենտրոն</w:t>
      </w:r>
      <w:r w:rsidRPr="003D1F2B">
        <w:rPr>
          <w:rFonts w:ascii="Sylfaen" w:eastAsia="Times New Roman" w:hAnsi="Sylfaen" w:cs="Times New Roman"/>
          <w:color w:val="222222"/>
        </w:rPr>
        <w:br/>
        <w:t>Հելսինկյան քաղաքացիական ասամբլեայի Վանաձորի գրասենյակ</w:t>
      </w:r>
      <w:r w:rsidRPr="003D1F2B">
        <w:rPr>
          <w:rFonts w:ascii="Sylfaen" w:eastAsia="Times New Roman" w:hAnsi="Sylfaen" w:cs="Times New Roman"/>
          <w:color w:val="222222"/>
        </w:rPr>
        <w:br/>
        <w:t>Բաց հասարակության հիմնադրամներ-Հայաստան</w:t>
      </w:r>
      <w:r w:rsidRPr="003D1F2B">
        <w:rPr>
          <w:rFonts w:ascii="Sylfaen" w:eastAsia="Times New Roman" w:hAnsi="Sylfaen" w:cs="Times New Roman"/>
          <w:color w:val="222222"/>
        </w:rPr>
        <w:br/>
        <w:t>Իրավունքի զարգացման և պաշտպանության հիմնադրամ</w:t>
      </w:r>
    </w:p>
    <w:p w14:paraId="365F10E0" w14:textId="77777777" w:rsidR="00434829" w:rsidRPr="003D1F2B" w:rsidRDefault="00434829">
      <w:pPr>
        <w:shd w:val="clear" w:color="auto" w:fill="FFFFFF"/>
        <w:jc w:val="both"/>
        <w:rPr>
          <w:rFonts w:ascii="Calibri" w:eastAsia="Times New Roman" w:hAnsi="Calibri" w:cs="Times New Roman"/>
          <w:color w:val="222222"/>
        </w:rPr>
      </w:pPr>
    </w:p>
    <w:sectPr w:rsidR="00434829" w:rsidRPr="003D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86CE" w14:textId="77777777" w:rsidR="000643FD" w:rsidRDefault="000643FD" w:rsidP="007E61CF">
      <w:pPr>
        <w:spacing w:after="0" w:line="240" w:lineRule="auto"/>
      </w:pPr>
      <w:r>
        <w:separator/>
      </w:r>
    </w:p>
  </w:endnote>
  <w:endnote w:type="continuationSeparator" w:id="0">
    <w:p w14:paraId="591B84E8" w14:textId="77777777" w:rsidR="000643FD" w:rsidRDefault="000643FD" w:rsidP="007E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A636" w14:textId="77777777" w:rsidR="000643FD" w:rsidRDefault="000643FD" w:rsidP="007E61CF">
      <w:pPr>
        <w:spacing w:after="0" w:line="240" w:lineRule="auto"/>
      </w:pPr>
      <w:r>
        <w:separator/>
      </w:r>
    </w:p>
  </w:footnote>
  <w:footnote w:type="continuationSeparator" w:id="0">
    <w:p w14:paraId="6933B53F" w14:textId="77777777" w:rsidR="000643FD" w:rsidRDefault="000643FD" w:rsidP="007E61CF">
      <w:pPr>
        <w:spacing w:after="0" w:line="240" w:lineRule="auto"/>
      </w:pPr>
      <w:r>
        <w:continuationSeparator/>
      </w:r>
    </w:p>
  </w:footnote>
  <w:footnote w:id="1">
    <w:p w14:paraId="486924C7" w14:textId="77777777" w:rsidR="00E01AC8" w:rsidRPr="007753DE" w:rsidRDefault="00E01AC8">
      <w:pPr>
        <w:pStyle w:val="FootnoteText"/>
        <w:rPr>
          <w:rFonts w:ascii="Sylfaen" w:hAnsi="Sylfaen"/>
        </w:rPr>
      </w:pPr>
      <w:r w:rsidRPr="007753DE">
        <w:rPr>
          <w:rStyle w:val="FootnoteReference"/>
          <w:rFonts w:ascii="Sylfaen" w:hAnsi="Sylfaen"/>
        </w:rPr>
        <w:footnoteRef/>
      </w:r>
      <w:r w:rsidRPr="007753DE">
        <w:rPr>
          <w:rFonts w:ascii="Sylfaen" w:hAnsi="Sylfaen"/>
        </w:rPr>
        <w:t xml:space="preserve"> ՄԱԿ Գլխավոր Ասամբելայի թիվ 48/134 բանաձև, ընդունված 1993թ. դեկտեմբերի 20-ին: </w:t>
      </w:r>
    </w:p>
  </w:footnote>
  <w:footnote w:id="2">
    <w:p w14:paraId="24BD2FB7" w14:textId="5FC5FB01" w:rsidR="0076492F" w:rsidRPr="007753DE" w:rsidRDefault="0076492F" w:rsidP="0076492F">
      <w:pPr>
        <w:pStyle w:val="FootnoteText"/>
        <w:rPr>
          <w:rFonts w:ascii="Sylfaen" w:hAnsi="Sylfaen"/>
        </w:rPr>
      </w:pPr>
      <w:r w:rsidRPr="007753DE">
        <w:rPr>
          <w:rStyle w:val="FootnoteReference"/>
          <w:rFonts w:ascii="Sylfaen" w:hAnsi="Sylfaen"/>
        </w:rPr>
        <w:footnoteRef/>
      </w:r>
      <w:r w:rsidRPr="007753DE">
        <w:rPr>
          <w:rFonts w:ascii="Sylfaen" w:hAnsi="Sylfaen"/>
        </w:rPr>
        <w:t xml:space="preserve"> </w:t>
      </w:r>
      <w:r w:rsidRPr="007753DE">
        <w:rPr>
          <w:rFonts w:ascii="Sylfaen" w:hAnsi="Sylfaen" w:cs="Times New Roman"/>
        </w:rPr>
        <w:t>Adopted by the GANHRI Bureau at its Meeting hel</w:t>
      </w:r>
      <w:r w:rsidRPr="007753DE">
        <w:rPr>
          <w:rFonts w:ascii="Sylfaen" w:hAnsi="Sylfaen"/>
        </w:rPr>
        <w:t>d in Geneva on 21 February 2018,</w:t>
      </w:r>
      <w:r w:rsidRPr="007753DE">
        <w:rPr>
          <w:rFonts w:ascii="Sylfaen" w:hAnsi="Sylfaen" w:cs="Times New Roman"/>
        </w:rPr>
        <w:t xml:space="preserve"> GLOBAL ALLIANCE OF NATIONAL HUMAN RIGHTS INSTITUTIONS (GANHRI)</w:t>
      </w:r>
      <w:r w:rsidRPr="007753DE">
        <w:rPr>
          <w:rFonts w:ascii="Sylfaen" w:hAnsi="Sylfaen"/>
        </w:rPr>
        <w:t>,</w:t>
      </w:r>
      <w:r w:rsidRPr="007753DE">
        <w:rPr>
          <w:rFonts w:ascii="Sylfaen" w:hAnsi="Sylfaen" w:cs="Times New Roman"/>
        </w:rPr>
        <w:t xml:space="preserve"> General Observations of the Sub-Committee on Accreditation</w:t>
      </w:r>
      <w:r w:rsidRPr="007753DE">
        <w:rPr>
          <w:rFonts w:ascii="Sylfaen" w:hAnsi="Sylfaen"/>
        </w:rPr>
        <w:t xml:space="preserve"> </w:t>
      </w:r>
      <w:r w:rsidRPr="007753DE">
        <w:rPr>
          <w:rFonts w:ascii="Sylfaen" w:hAnsi="Sylfaen"/>
          <w:lang w:val="hy-AM"/>
        </w:rPr>
        <w:t xml:space="preserve">available at </w:t>
      </w:r>
      <w:hyperlink r:id="rId1" w:history="1">
        <w:r w:rsidRPr="007753DE">
          <w:rPr>
            <w:rStyle w:val="Hyperlink"/>
            <w:rFonts w:ascii="Sylfaen" w:hAnsi="Sylfaen"/>
          </w:rPr>
          <w:t>https://ganhri.org/accreditation/general-observations/</w:t>
        </w:r>
      </w:hyperlink>
    </w:p>
  </w:footnote>
  <w:footnote w:id="3">
    <w:p w14:paraId="08DC4E62" w14:textId="77777777" w:rsidR="0053004B" w:rsidRPr="007753DE" w:rsidRDefault="0053004B">
      <w:pPr>
        <w:pStyle w:val="FootnoteText"/>
        <w:rPr>
          <w:rFonts w:ascii="Sylfaen" w:hAnsi="Sylfaen"/>
          <w:lang w:val="hy-AM"/>
        </w:rPr>
      </w:pPr>
      <w:r w:rsidRPr="007753DE">
        <w:rPr>
          <w:rStyle w:val="FootnoteReference"/>
          <w:rFonts w:ascii="Sylfaen" w:hAnsi="Sylfaen"/>
        </w:rPr>
        <w:footnoteRef/>
      </w:r>
      <w:r w:rsidRPr="007753DE">
        <w:rPr>
          <w:rFonts w:ascii="Sylfaen" w:hAnsi="Sylfaen"/>
          <w:lang w:val="hy-AM"/>
        </w:rPr>
        <w:t xml:space="preserve"> </w:t>
      </w:r>
      <w:hyperlink r:id="rId2" w:history="1">
        <w:r w:rsidRPr="007753DE">
          <w:rPr>
            <w:rStyle w:val="Hyperlink"/>
            <w:rFonts w:ascii="Sylfaen" w:hAnsi="Sylfaen"/>
            <w:lang w:val="hy-AM"/>
          </w:rPr>
          <w:t>http://assembly.coe.int/nw/xml/XRef/Xref-XML2HTML-en.asp?fileid=17133&amp;lang=en</w:t>
        </w:r>
      </w:hyperlink>
      <w:r w:rsidRPr="007753DE">
        <w:rPr>
          <w:rFonts w:ascii="Sylfaen" w:hAnsi="Sylfaen"/>
          <w:lang w:val="hy-AM"/>
        </w:rPr>
        <w:t xml:space="preserve"> </w:t>
      </w:r>
    </w:p>
  </w:footnote>
  <w:footnote w:id="4">
    <w:p w14:paraId="06B7C359" w14:textId="77777777" w:rsidR="00E01AC8" w:rsidRPr="003D1F2B" w:rsidRDefault="00E01AC8">
      <w:pPr>
        <w:pStyle w:val="FootnoteText"/>
        <w:rPr>
          <w:rFonts w:ascii="Sylfaen" w:hAnsi="Sylfaen"/>
          <w:lang w:val="hy-AM"/>
        </w:rPr>
      </w:pPr>
      <w:r w:rsidRPr="007753DE">
        <w:rPr>
          <w:rStyle w:val="FootnoteReference"/>
          <w:rFonts w:ascii="Sylfaen" w:hAnsi="Sylfaen"/>
        </w:rPr>
        <w:footnoteRef/>
      </w:r>
      <w:r w:rsidRPr="003D1F2B">
        <w:rPr>
          <w:rFonts w:ascii="Sylfaen" w:hAnsi="Sylfaen"/>
          <w:lang w:val="hy-AM"/>
        </w:rPr>
        <w:t xml:space="preserve"> </w:t>
      </w:r>
      <w:hyperlink r:id="rId3" w:history="1">
        <w:r w:rsidR="002E39BE" w:rsidRPr="003D1F2B">
          <w:rPr>
            <w:rStyle w:val="Hyperlink"/>
            <w:rFonts w:ascii="Sylfaen" w:hAnsi="Sylfaen"/>
            <w:lang w:val="hy-AM"/>
          </w:rPr>
          <w:t>https://www.venice.coe.int/webforms/documents/default.aspx?pdffile=CDL-AD(2019)005-e</w:t>
        </w:r>
      </w:hyperlink>
      <w:r w:rsidR="002E39BE" w:rsidRPr="003D1F2B">
        <w:rPr>
          <w:rFonts w:ascii="Sylfaen" w:hAnsi="Sylfaen"/>
          <w:lang w:val="hy-AM"/>
        </w:rPr>
        <w:t xml:space="preserve"> </w:t>
      </w:r>
    </w:p>
  </w:footnote>
  <w:footnote w:id="5">
    <w:p w14:paraId="52CDD438" w14:textId="77777777" w:rsidR="002E39BE" w:rsidRPr="003D1F2B" w:rsidRDefault="002E39BE" w:rsidP="007753DE">
      <w:pPr>
        <w:pStyle w:val="FootnoteText"/>
        <w:jc w:val="both"/>
        <w:rPr>
          <w:rFonts w:ascii="Sylfaen" w:hAnsi="Sylfaen"/>
          <w:lang w:val="hy-AM"/>
        </w:rPr>
      </w:pPr>
      <w:r w:rsidRPr="007753DE">
        <w:rPr>
          <w:rStyle w:val="FootnoteReference"/>
          <w:rFonts w:ascii="Sylfaen" w:hAnsi="Sylfaen"/>
        </w:rPr>
        <w:footnoteRef/>
      </w:r>
      <w:r w:rsidRPr="003D1F2B">
        <w:rPr>
          <w:rFonts w:ascii="Sylfaen" w:hAnsi="Sylfaen"/>
          <w:lang w:val="hy-AM"/>
        </w:rPr>
        <w:t xml:space="preserve"> </w:t>
      </w:r>
      <w:hyperlink r:id="rId4" w:history="1">
        <w:r w:rsidRPr="003D1F2B">
          <w:rPr>
            <w:rStyle w:val="Hyperlink"/>
            <w:rFonts w:ascii="Sylfaen" w:hAnsi="Sylfaen"/>
            <w:lang w:val="hy-AM"/>
          </w:rPr>
          <w:t>https://www.venice.coe.int/webforms/documents/default.aspx?pdffile=CDL(2017)041-e</w:t>
        </w:r>
      </w:hyperlink>
      <w:r w:rsidRPr="003D1F2B">
        <w:rPr>
          <w:rFonts w:ascii="Sylfaen" w:hAnsi="Sylfaen"/>
          <w:lang w:val="hy-AM"/>
        </w:rPr>
        <w:t xml:space="preserve"> </w:t>
      </w:r>
    </w:p>
  </w:footnote>
  <w:footnote w:id="6">
    <w:p w14:paraId="3D534C99" w14:textId="77777777" w:rsidR="00CF3960" w:rsidRPr="003D1F2B" w:rsidRDefault="00CF3960">
      <w:pPr>
        <w:pStyle w:val="FootnoteText"/>
        <w:rPr>
          <w:rFonts w:ascii="Sylfaen" w:hAnsi="Sylfaen"/>
          <w:lang w:val="hy-AM"/>
        </w:rPr>
      </w:pPr>
      <w:r w:rsidRPr="007753DE">
        <w:rPr>
          <w:rStyle w:val="FootnoteReference"/>
          <w:rFonts w:ascii="Sylfaen" w:hAnsi="Sylfaen"/>
        </w:rPr>
        <w:footnoteRef/>
      </w:r>
      <w:r w:rsidRPr="003D1F2B">
        <w:rPr>
          <w:rFonts w:ascii="Sylfaen" w:hAnsi="Sylfaen"/>
          <w:lang w:val="hy-AM"/>
        </w:rPr>
        <w:t xml:space="preserve"> </w:t>
      </w:r>
      <w:hyperlink r:id="rId5" w:history="1">
        <w:r w:rsidRPr="003D1F2B">
          <w:rPr>
            <w:rStyle w:val="Hyperlink"/>
            <w:rFonts w:ascii="Sylfaen" w:hAnsi="Sylfaen"/>
            <w:lang w:val="hy-AM"/>
          </w:rPr>
          <w:t>https://www.venice.coe.int/webforms/documents/default.aspx?pdffile=CDL(2017)041-e</w:t>
        </w:r>
      </w:hyperlink>
      <w:r w:rsidRPr="003D1F2B">
        <w:rPr>
          <w:rFonts w:ascii="Sylfaen" w:hAnsi="Sylfaen"/>
          <w:lang w:val="hy-AM"/>
        </w:rPr>
        <w:t xml:space="preserve"> Նույն մոտեցումը, և հատկապես Օմբուդսմանի կողմից իր բյուջեի նախագիծը ներկայացնելու լիազորություն նախատեսելու անհրաժեշտությունը Վենետիկի Հանձնաժողովը շեշտել է նաև այլ պետությունների օրենսդրության վերաբերյալ հայտնած կարծիքներում: Տես օրինակ, Ղազախստանի Օմբուդսմանի հաստատության առնչությամբ ռեֆորմի վերաբերյալ կարծիքը: Opinion on the possible reform of the Ombudsman Institution in Kazakhstan adopted by the Venice Commission at its 71st Plenary Session (Venice, 1-2 June 2007), </w:t>
      </w:r>
      <w:r w:rsidR="001E1A24" w:rsidRPr="003D1F2B">
        <w:rPr>
          <w:rFonts w:ascii="Sylfaen" w:hAnsi="Sylfaen"/>
          <w:lang w:val="hy-AM"/>
        </w:rPr>
        <w:t xml:space="preserve">CDL-AD(2007)020: </w:t>
      </w:r>
    </w:p>
  </w:footnote>
  <w:footnote w:id="7">
    <w:p w14:paraId="72AFC706" w14:textId="77777777" w:rsidR="00434829" w:rsidRPr="003D1F2B" w:rsidRDefault="00434829" w:rsidP="0043482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D1F2B">
        <w:rPr>
          <w:lang w:val="hy-AM"/>
        </w:rPr>
        <w:t xml:space="preserve"> </w:t>
      </w:r>
      <w:hyperlink r:id="rId6" w:anchor="sthash.vCTaTqsf.guamIEN6.dpbs" w:history="1">
        <w:r w:rsidRPr="003D1F2B">
          <w:rPr>
            <w:rStyle w:val="Hyperlink"/>
            <w:lang w:val="hy-AM"/>
          </w:rPr>
          <w:t>https://minfin.am/hy/content/parzabanum_byujetayin_gortsyntac/#sthash.vCTaTqsf.guamIEN6.dpbs</w:t>
        </w:r>
      </w:hyperlink>
      <w:r w:rsidRPr="003D1F2B">
        <w:rPr>
          <w:lang w:val="hy-AM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23EF"/>
    <w:multiLevelType w:val="hybridMultilevel"/>
    <w:tmpl w:val="7D3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AC"/>
    <w:rsid w:val="000643FD"/>
    <w:rsid w:val="001953FF"/>
    <w:rsid w:val="001E1A24"/>
    <w:rsid w:val="00246103"/>
    <w:rsid w:val="002C0957"/>
    <w:rsid w:val="002E39BE"/>
    <w:rsid w:val="002E404E"/>
    <w:rsid w:val="00362756"/>
    <w:rsid w:val="00377EC3"/>
    <w:rsid w:val="003D1F2B"/>
    <w:rsid w:val="00434829"/>
    <w:rsid w:val="0053004B"/>
    <w:rsid w:val="005936EE"/>
    <w:rsid w:val="005E3B7A"/>
    <w:rsid w:val="00664836"/>
    <w:rsid w:val="00686445"/>
    <w:rsid w:val="006969C8"/>
    <w:rsid w:val="006F1302"/>
    <w:rsid w:val="007112A7"/>
    <w:rsid w:val="0076492F"/>
    <w:rsid w:val="007753DE"/>
    <w:rsid w:val="007E61CF"/>
    <w:rsid w:val="00875A40"/>
    <w:rsid w:val="00892CC8"/>
    <w:rsid w:val="00996FCB"/>
    <w:rsid w:val="00A05EAC"/>
    <w:rsid w:val="00CF3960"/>
    <w:rsid w:val="00D417C7"/>
    <w:rsid w:val="00D9259A"/>
    <w:rsid w:val="00D96E70"/>
    <w:rsid w:val="00DA5EDB"/>
    <w:rsid w:val="00E01AC8"/>
    <w:rsid w:val="00EC298E"/>
    <w:rsid w:val="00F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D016"/>
  <w15:docId w15:val="{F54BEE3C-D1B3-4F86-93AD-CC38A9F3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1CF"/>
  </w:style>
  <w:style w:type="paragraph" w:styleId="Footer">
    <w:name w:val="footer"/>
    <w:basedOn w:val="Normal"/>
    <w:link w:val="FooterChar"/>
    <w:uiPriority w:val="99"/>
    <w:unhideWhenUsed/>
    <w:rsid w:val="007E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1CF"/>
  </w:style>
  <w:style w:type="paragraph" w:styleId="FootnoteText">
    <w:name w:val="footnote text"/>
    <w:basedOn w:val="Normal"/>
    <w:link w:val="FootnoteTextChar"/>
    <w:uiPriority w:val="99"/>
    <w:semiHidden/>
    <w:unhideWhenUsed/>
    <w:rsid w:val="00E01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A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A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00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enice.coe.int/webforms/documents/default.aspx?pdffile=CDL-AD(2019)005-e" TargetMode="External"/><Relationship Id="rId2" Type="http://schemas.openxmlformats.org/officeDocument/2006/relationships/hyperlink" Target="http://assembly.coe.int/nw/xml/XRef/Xref-XML2HTML-en.asp?fileid=17133&amp;lang=en" TargetMode="External"/><Relationship Id="rId1" Type="http://schemas.openxmlformats.org/officeDocument/2006/relationships/hyperlink" Target="https://ganhri.org/accreditation/general-observations/" TargetMode="External"/><Relationship Id="rId6" Type="http://schemas.openxmlformats.org/officeDocument/2006/relationships/hyperlink" Target="https://minfin.am/hy/content/parzabanum_byujetayin_gortsyntac/" TargetMode="External"/><Relationship Id="rId5" Type="http://schemas.openxmlformats.org/officeDocument/2006/relationships/hyperlink" Target="https://www.venice.coe.int/webforms/documents/default.aspx?pdffile=CDL(2017)041-e" TargetMode="External"/><Relationship Id="rId4" Type="http://schemas.openxmlformats.org/officeDocument/2006/relationships/hyperlink" Target="https://www.venice.coe.int/webforms/documents/default.aspx?pdffile=CDL(2017)041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8B2F-0162-4D03-BB8B-E7B9A97F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Armine Tokhmakhyan</cp:lastModifiedBy>
  <cp:revision>2</cp:revision>
  <dcterms:created xsi:type="dcterms:W3CDTF">2021-03-25T07:06:00Z</dcterms:created>
  <dcterms:modified xsi:type="dcterms:W3CDTF">2021-03-25T07:06:00Z</dcterms:modified>
</cp:coreProperties>
</file>